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E0" w:rsidRPr="00471B26" w:rsidRDefault="00E16BE0" w:rsidP="00E16BE0">
      <w:pPr>
        <w:jc w:val="center"/>
        <w:rPr>
          <w:b/>
          <w:bCs/>
          <w:color w:val="800000"/>
          <w:sz w:val="28"/>
          <w:szCs w:val="28"/>
        </w:rPr>
      </w:pPr>
      <w:r w:rsidRPr="00E16BE0">
        <w:rPr>
          <w:b/>
          <w:bCs/>
          <w:noProof/>
          <w:color w:val="800000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-4445</wp:posOffset>
            </wp:positionV>
            <wp:extent cx="428625" cy="571500"/>
            <wp:effectExtent l="19050" t="0" r="9525" b="0"/>
            <wp:wrapNone/>
            <wp:docPr id="1" name="Immagine 2" descr="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E0" w:rsidRPr="00471B26" w:rsidRDefault="00E16BE0" w:rsidP="00E16BE0">
      <w:pPr>
        <w:rPr>
          <w:b/>
          <w:bCs/>
          <w:color w:val="800000"/>
          <w:sz w:val="28"/>
          <w:szCs w:val="28"/>
        </w:rPr>
      </w:pPr>
    </w:p>
    <w:p w:rsidR="00E16BE0" w:rsidRPr="00A928CC" w:rsidRDefault="00E16BE0" w:rsidP="00A928CC">
      <w:pPr>
        <w:spacing w:after="0" w:line="240" w:lineRule="auto"/>
        <w:jc w:val="center"/>
        <w:rPr>
          <w:bCs/>
          <w:sz w:val="26"/>
          <w:szCs w:val="26"/>
        </w:rPr>
      </w:pPr>
      <w:r w:rsidRPr="00A928CC">
        <w:rPr>
          <w:bCs/>
          <w:sz w:val="26"/>
          <w:szCs w:val="26"/>
        </w:rPr>
        <w:t>Università degli Studi di Genova</w:t>
      </w:r>
    </w:p>
    <w:p w:rsidR="00E16BE0" w:rsidRPr="00A928CC" w:rsidRDefault="00E16BE0" w:rsidP="00A928CC">
      <w:pPr>
        <w:spacing w:after="0" w:line="240" w:lineRule="auto"/>
        <w:jc w:val="center"/>
        <w:rPr>
          <w:bCs/>
          <w:sz w:val="26"/>
          <w:szCs w:val="26"/>
        </w:rPr>
      </w:pPr>
      <w:r w:rsidRPr="00A928CC">
        <w:rPr>
          <w:bCs/>
          <w:sz w:val="26"/>
          <w:szCs w:val="26"/>
        </w:rPr>
        <w:t>Dipartimento di Scienze Politiche</w:t>
      </w:r>
      <w:r w:rsidR="000F73FD">
        <w:rPr>
          <w:bCs/>
          <w:sz w:val="26"/>
          <w:szCs w:val="26"/>
        </w:rPr>
        <w:t xml:space="preserve"> e Internazionali</w:t>
      </w:r>
    </w:p>
    <w:p w:rsidR="00E16BE0" w:rsidRPr="00471B26" w:rsidRDefault="00E16BE0" w:rsidP="00E16BE0">
      <w:pPr>
        <w:rPr>
          <w:b/>
          <w:bCs/>
          <w:sz w:val="26"/>
          <w:szCs w:val="26"/>
        </w:rPr>
      </w:pPr>
    </w:p>
    <w:p w:rsidR="00E16BE0" w:rsidRPr="00A928CC" w:rsidRDefault="003A7EA3" w:rsidP="00E16BE0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a.a.</w:t>
      </w:r>
      <w:proofErr w:type="spellEnd"/>
      <w:r>
        <w:rPr>
          <w:bCs/>
          <w:sz w:val="28"/>
          <w:szCs w:val="28"/>
        </w:rPr>
        <w:t xml:space="preserve"> 2022-2023</w:t>
      </w:r>
    </w:p>
    <w:p w:rsidR="00A928CC" w:rsidRDefault="00A928CC" w:rsidP="00E16BE0">
      <w:pPr>
        <w:jc w:val="center"/>
        <w:rPr>
          <w:b/>
          <w:bCs/>
          <w:sz w:val="28"/>
          <w:szCs w:val="28"/>
        </w:rPr>
      </w:pPr>
    </w:p>
    <w:p w:rsidR="00E16BE0" w:rsidRPr="00A928CC" w:rsidRDefault="00A928CC" w:rsidP="00E16BE0">
      <w:pPr>
        <w:jc w:val="center"/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</w:pPr>
      <w:r w:rsidRPr="00A928CC"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>Formazione alla cittadinanza europea</w:t>
      </w:r>
    </w:p>
    <w:p w:rsidR="00E16BE0" w:rsidRDefault="003A7EA3" w:rsidP="00E16BE0">
      <w:pPr>
        <w:jc w:val="center"/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</w:pPr>
      <w:r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 xml:space="preserve">“Da 6 a 27. </w:t>
      </w:r>
      <w:r w:rsidR="007D78C7"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>A</w:t>
      </w:r>
      <w:r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>llargamento</w:t>
      </w:r>
      <w:r w:rsidR="007D78C7"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 xml:space="preserve"> territoriale e prospettive di pace</w:t>
      </w:r>
      <w:r w:rsidR="00E16BE0"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>”</w:t>
      </w:r>
    </w:p>
    <w:p w:rsidR="00E16BE0" w:rsidRDefault="00E16BE0" w:rsidP="00E16BE0">
      <w:pPr>
        <w:jc w:val="center"/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</w:pPr>
    </w:p>
    <w:p w:rsidR="00E16BE0" w:rsidRDefault="00E16BE0" w:rsidP="00E16B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Docente: </w:t>
      </w:r>
      <w:r>
        <w:rPr>
          <w:b/>
          <w:bCs/>
          <w:sz w:val="26"/>
          <w:szCs w:val="26"/>
        </w:rPr>
        <w:tab/>
        <w:t>Daniela Preda</w:t>
      </w:r>
    </w:p>
    <w:p w:rsidR="00E16BE0" w:rsidRDefault="00E16BE0" w:rsidP="00E16BE0">
      <w:pPr>
        <w:jc w:val="center"/>
        <w:rPr>
          <w:b/>
          <w:bCs/>
          <w:sz w:val="26"/>
          <w:szCs w:val="26"/>
        </w:rPr>
      </w:pPr>
    </w:p>
    <w:p w:rsidR="00277F6D" w:rsidRPr="00787784" w:rsidRDefault="00471B26" w:rsidP="00787784">
      <w:pPr>
        <w:pStyle w:val="NormaleWeb"/>
        <w:spacing w:line="276" w:lineRule="auto"/>
        <w:jc w:val="both"/>
        <w:rPr>
          <w:rStyle w:val="Enfasigrassetto"/>
        </w:rPr>
      </w:pPr>
      <w:r w:rsidRPr="00787784">
        <w:rPr>
          <w:rFonts w:eastAsia="Arial Unicode MS"/>
        </w:rPr>
        <w:t xml:space="preserve">Il Corso </w:t>
      </w:r>
      <w:r w:rsidR="00147B62">
        <w:rPr>
          <w:rFonts w:eastAsia="Arial Unicode MS"/>
          <w:b/>
          <w:color w:val="FF0000"/>
        </w:rPr>
        <w:t>“</w:t>
      </w:r>
      <w:r w:rsidR="00A928CC">
        <w:rPr>
          <w:rFonts w:eastAsia="Arial Unicode MS"/>
          <w:b/>
          <w:color w:val="FF0000"/>
        </w:rPr>
        <w:t>Formazione alla cittadinanza e</w:t>
      </w:r>
      <w:r w:rsidR="007017F0">
        <w:rPr>
          <w:rFonts w:eastAsia="Arial Unicode MS"/>
          <w:b/>
          <w:color w:val="FF0000"/>
        </w:rPr>
        <w:t>uropea. Da 6 a 27. Allargamento territoriale e prospettive di pace</w:t>
      </w:r>
      <w:r w:rsidRPr="00787784">
        <w:rPr>
          <w:rFonts w:eastAsia="Arial Unicode MS"/>
          <w:b/>
          <w:color w:val="FF0000"/>
        </w:rPr>
        <w:t>”</w:t>
      </w:r>
      <w:r w:rsidRPr="00787784">
        <w:rPr>
          <w:rFonts w:eastAsia="Arial Unicode MS"/>
        </w:rPr>
        <w:t xml:space="preserve"> </w:t>
      </w:r>
      <w:r w:rsidR="00092A13" w:rsidRPr="00787784">
        <w:t>è aperto a tut</w:t>
      </w:r>
      <w:r w:rsidRPr="00787784">
        <w:t>ti gli studenti iscritti ai Corsi di laurea e di dottorato dell'Università di Genova. Non sono richieste conoscenze iniziali specifiche.</w:t>
      </w:r>
      <w:r w:rsidRPr="00787784">
        <w:rPr>
          <w:rStyle w:val="Enfasigrassetto"/>
        </w:rPr>
        <w:t xml:space="preserve"> </w:t>
      </w:r>
    </w:p>
    <w:p w:rsidR="000C2552" w:rsidRPr="00787784" w:rsidRDefault="000C2552" w:rsidP="0078778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7784">
        <w:rPr>
          <w:rFonts w:ascii="Times New Roman" w:eastAsia="Arial Unicode MS" w:hAnsi="Times New Roman" w:cs="Times New Roman"/>
          <w:sz w:val="24"/>
          <w:szCs w:val="24"/>
        </w:rPr>
        <w:t>Il Corso i</w:t>
      </w:r>
      <w:r w:rsidR="006120E1" w:rsidRPr="00787784">
        <w:rPr>
          <w:rFonts w:ascii="Times New Roman" w:eastAsia="Arial Unicode MS" w:hAnsi="Times New Roman" w:cs="Times New Roman"/>
          <w:sz w:val="24"/>
          <w:szCs w:val="24"/>
        </w:rPr>
        <w:t xml:space="preserve">ntende riflettere sul significato della cittadinanza europea, in una prospettiva </w:t>
      </w:r>
      <w:r w:rsidR="009E686D">
        <w:rPr>
          <w:rFonts w:ascii="Times New Roman" w:eastAsia="Arial Unicode MS" w:hAnsi="Times New Roman" w:cs="Times New Roman"/>
          <w:sz w:val="24"/>
          <w:szCs w:val="24"/>
        </w:rPr>
        <w:t>multidiscip</w:t>
      </w:r>
      <w:r w:rsidR="00191490">
        <w:rPr>
          <w:rFonts w:ascii="Times New Roman" w:eastAsia="Arial Unicode MS" w:hAnsi="Times New Roman" w:cs="Times New Roman"/>
          <w:sz w:val="24"/>
          <w:szCs w:val="24"/>
        </w:rPr>
        <w:t>lina</w:t>
      </w:r>
      <w:r w:rsidR="00642277">
        <w:rPr>
          <w:rFonts w:ascii="Times New Roman" w:eastAsia="Arial Unicode MS" w:hAnsi="Times New Roman" w:cs="Times New Roman"/>
          <w:sz w:val="24"/>
          <w:szCs w:val="24"/>
        </w:rPr>
        <w:t>re</w:t>
      </w:r>
      <w:r w:rsidRPr="00787784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F73FD">
        <w:rPr>
          <w:rFonts w:ascii="Times New Roman" w:eastAsia="Arial Unicode MS" w:hAnsi="Times New Roman" w:cs="Times New Roman"/>
          <w:sz w:val="24"/>
          <w:szCs w:val="24"/>
        </w:rPr>
        <w:t xml:space="preserve"> Attraverso gli allargamenti dell’Unione Europea, la riflessione si allarga ai grandi valori di pace, democrazia, diritti, inclusione sociale.</w:t>
      </w:r>
    </w:p>
    <w:p w:rsidR="00471B26" w:rsidRDefault="00471B26" w:rsidP="00A928CC">
      <w:pPr>
        <w:jc w:val="both"/>
      </w:pPr>
      <w:r w:rsidRPr="00B11460">
        <w:rPr>
          <w:rFonts w:ascii="Times New Roman" w:eastAsia="Arial Unicode MS" w:hAnsi="Times New Roman" w:cs="Times New Roman"/>
          <w:sz w:val="24"/>
          <w:szCs w:val="24"/>
        </w:rPr>
        <w:t>Al termine del corso</w:t>
      </w:r>
      <w:r w:rsidR="00A928CC" w:rsidRPr="00B1146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 xml:space="preserve"> è possibile il riconoscimento di 1 </w:t>
      </w:r>
      <w:r w:rsidRPr="000465CE">
        <w:rPr>
          <w:rFonts w:ascii="Times New Roman" w:eastAsia="Arial Unicode MS" w:hAnsi="Times New Roman" w:cs="Times New Roman"/>
          <w:sz w:val="24"/>
          <w:szCs w:val="24"/>
        </w:rPr>
        <w:t xml:space="preserve">CFU, </w:t>
      </w:r>
      <w:r w:rsidR="000465CE" w:rsidRPr="000465CE">
        <w:rPr>
          <w:rFonts w:ascii="Times New Roman" w:eastAsia="Arial Unicode MS" w:hAnsi="Times New Roman" w:cs="Times New Roman"/>
          <w:sz w:val="24"/>
          <w:szCs w:val="24"/>
        </w:rPr>
        <w:t xml:space="preserve">che risulterà come CFU aggiuntivo nel </w:t>
      </w:r>
      <w:r w:rsidR="000465CE" w:rsidRPr="00B11460">
        <w:rPr>
          <w:rFonts w:ascii="Times New Roman" w:eastAsia="Arial Unicode MS" w:hAnsi="Times New Roman" w:cs="Times New Roman"/>
          <w:sz w:val="24"/>
          <w:szCs w:val="24"/>
        </w:rPr>
        <w:t xml:space="preserve">Diploma </w:t>
      </w:r>
      <w:proofErr w:type="spellStart"/>
      <w:r w:rsidR="000465CE" w:rsidRPr="00B11460">
        <w:rPr>
          <w:rFonts w:ascii="Times New Roman" w:eastAsia="Arial Unicode MS" w:hAnsi="Times New Roman" w:cs="Times New Roman"/>
          <w:sz w:val="24"/>
          <w:szCs w:val="24"/>
        </w:rPr>
        <w:t>supplement</w:t>
      </w:r>
      <w:proofErr w:type="spellEnd"/>
      <w:r w:rsidR="000465CE" w:rsidRPr="00B1146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465CE">
        <w:rPr>
          <w:rFonts w:ascii="Times New Roman" w:eastAsia="Arial Unicode MS" w:hAnsi="Times New Roman" w:cs="Times New Roman"/>
          <w:sz w:val="24"/>
          <w:szCs w:val="24"/>
        </w:rPr>
        <w:t xml:space="preserve"> per gli studenti che avranno fre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>quentato almeno il 70% delle lezioni e c</w:t>
      </w:r>
      <w:r w:rsidR="007D78C7">
        <w:rPr>
          <w:rFonts w:ascii="Times New Roman" w:eastAsia="Arial Unicode MS" w:hAnsi="Times New Roman" w:cs="Times New Roman"/>
          <w:sz w:val="24"/>
          <w:szCs w:val="24"/>
        </w:rPr>
        <w:t xml:space="preserve">ompletato il </w:t>
      </w:r>
      <w:r w:rsidR="009E686D" w:rsidRPr="00B11460">
        <w:rPr>
          <w:rFonts w:ascii="Times New Roman" w:eastAsia="Arial Unicode MS" w:hAnsi="Times New Roman" w:cs="Times New Roman"/>
          <w:sz w:val="24"/>
          <w:szCs w:val="24"/>
        </w:rPr>
        <w:t>test finale</w:t>
      </w:r>
      <w:r w:rsidR="00277F6D" w:rsidRPr="00787784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928C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>Gli studenti dovranno rich</w:t>
      </w:r>
      <w:r w:rsidR="004026AB" w:rsidRPr="00B11460">
        <w:rPr>
          <w:rFonts w:ascii="Times New Roman" w:eastAsia="Arial Unicode MS" w:hAnsi="Times New Roman" w:cs="Times New Roman"/>
          <w:sz w:val="24"/>
          <w:szCs w:val="24"/>
        </w:rPr>
        <w:t xml:space="preserve">iedere l'inserimento </w:t>
      </w:r>
      <w:r w:rsidR="004026AB" w:rsidRPr="00D31B54">
        <w:rPr>
          <w:rFonts w:ascii="Times New Roman" w:eastAsia="Arial Unicode MS" w:hAnsi="Times New Roman" w:cs="Times New Roman"/>
          <w:sz w:val="24"/>
          <w:szCs w:val="24"/>
        </w:rPr>
        <w:t>del</w:t>
      </w:r>
      <w:r w:rsidR="00A928CC" w:rsidRPr="00D31B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50E9F">
        <w:rPr>
          <w:rFonts w:ascii="Times New Roman" w:eastAsia="Arial Unicode MS" w:hAnsi="Times New Roman" w:cs="Times New Roman"/>
          <w:sz w:val="24"/>
          <w:szCs w:val="24"/>
        </w:rPr>
        <w:t>codice 103973</w:t>
      </w:r>
      <w:r w:rsidR="00D31B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46624" w:rsidRPr="00B11460">
        <w:rPr>
          <w:rFonts w:ascii="Times New Roman" w:eastAsia="Arial Unicode MS" w:hAnsi="Times New Roman" w:cs="Times New Roman"/>
          <w:sz w:val="24"/>
          <w:szCs w:val="24"/>
        </w:rPr>
        <w:t>FORMAZIONE ALLA CITTADIN</w:t>
      </w:r>
      <w:r w:rsidR="00A928CC" w:rsidRPr="00B11460">
        <w:rPr>
          <w:rFonts w:ascii="Times New Roman" w:eastAsia="Arial Unicode MS" w:hAnsi="Times New Roman" w:cs="Times New Roman"/>
          <w:sz w:val="24"/>
          <w:szCs w:val="24"/>
        </w:rPr>
        <w:t>ANZA EUROPEA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 xml:space="preserve"> nel piano di studi presso il loro sportello dello studente.</w:t>
      </w:r>
      <w:r w:rsidR="00B11460" w:rsidRPr="00B11460">
        <w:rPr>
          <w:rFonts w:ascii="Times New Roman" w:eastAsia="Arial Unicode MS" w:hAnsi="Times New Roman" w:cs="Times New Roman"/>
          <w:sz w:val="24"/>
          <w:szCs w:val="24"/>
        </w:rPr>
        <w:t xml:space="preserve"> Le modalità di inserimento nel piano di studi sono disponibili al link</w:t>
      </w:r>
      <w:r w:rsidR="00B114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5" w:tgtFrame="IaCjJ1B-61lqHX587dID2D8" w:history="1">
        <w:r w:rsidR="00B11460" w:rsidRPr="00A058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https://servizionline.unige.it/studenti/formazionecittadinanza</w:t>
        </w:r>
      </w:hyperlink>
    </w:p>
    <w:p w:rsidR="00116E9D" w:rsidRPr="00787784" w:rsidRDefault="00116E9D" w:rsidP="001B7C82">
      <w:pPr>
        <w:pStyle w:val="NormaleWeb"/>
        <w:spacing w:line="276" w:lineRule="auto"/>
        <w:jc w:val="both"/>
      </w:pPr>
      <w:r>
        <w:t>In alternativa, è</w:t>
      </w:r>
      <w:r w:rsidRPr="00787784">
        <w:t xml:space="preserve"> possibi</w:t>
      </w:r>
      <w:r>
        <w:t>le per gli studenti chieder</w:t>
      </w:r>
      <w:r w:rsidRPr="00787784">
        <w:t>e il riconoscimento</w:t>
      </w:r>
      <w:r>
        <w:t xml:space="preserve"> del seminario</w:t>
      </w:r>
      <w:r w:rsidRPr="00787784">
        <w:t xml:space="preserve"> tra i crediti liberi, se previsti nell'ordinamento </w:t>
      </w:r>
      <w:r>
        <w:t>del proprio Corso di laurea. In tale caso, l</w:t>
      </w:r>
      <w:r w:rsidRPr="00787784">
        <w:t>a valutazione sulla</w:t>
      </w:r>
      <w:r>
        <w:t xml:space="preserve"> possibilità di riconoscimento </w:t>
      </w:r>
      <w:r w:rsidRPr="00787784">
        <w:t>è di competenza del Consiglio del Corso di laurea a cui lo studente è iscritto.</w:t>
      </w:r>
    </w:p>
    <w:p w:rsidR="00116E9D" w:rsidRPr="001B7C82" w:rsidRDefault="00116E9D" w:rsidP="001B7C82">
      <w:pPr>
        <w:pStyle w:val="Titolo3"/>
        <w:keepNext w:val="0"/>
        <w:rPr>
          <w:rFonts w:ascii="Times New Roman" w:hAnsi="Times New Roman"/>
          <w:szCs w:val="24"/>
        </w:rPr>
      </w:pPr>
      <w:r w:rsidRPr="00B0623B">
        <w:rPr>
          <w:rFonts w:ascii="Times New Roman" w:hAnsi="Times New Roman"/>
          <w:szCs w:val="24"/>
        </w:rPr>
        <w:t>Le iscrizioni</w:t>
      </w:r>
      <w:r w:rsidR="001B7C82">
        <w:rPr>
          <w:rFonts w:ascii="Times New Roman" w:hAnsi="Times New Roman"/>
          <w:szCs w:val="24"/>
        </w:rPr>
        <w:t xml:space="preserve"> dovranno essere effettuate</w:t>
      </w:r>
      <w:r w:rsidRPr="001B7C82">
        <w:rPr>
          <w:bCs/>
          <w:szCs w:val="24"/>
        </w:rPr>
        <w:t xml:space="preserve"> </w:t>
      </w:r>
      <w:r w:rsidRPr="001B7C82">
        <w:rPr>
          <w:rFonts w:ascii="Times New Roman" w:hAnsi="Times New Roman"/>
          <w:szCs w:val="24"/>
        </w:rPr>
        <w:t>su</w:t>
      </w:r>
      <w:r w:rsidR="001B7C82" w:rsidRPr="001B7C82">
        <w:rPr>
          <w:rFonts w:ascii="Times New Roman" w:hAnsi="Times New Roman"/>
          <w:szCs w:val="24"/>
        </w:rPr>
        <w:t>lla pagina</w:t>
      </w:r>
      <w:r w:rsidRPr="001B7C82">
        <w:rPr>
          <w:rFonts w:ascii="Times New Roman" w:hAnsi="Times New Roman"/>
          <w:szCs w:val="24"/>
        </w:rPr>
        <w:t xml:space="preserve"> </w:t>
      </w:r>
      <w:proofErr w:type="spellStart"/>
      <w:r w:rsidRPr="001B7C82">
        <w:rPr>
          <w:rFonts w:ascii="Times New Roman" w:hAnsi="Times New Roman"/>
          <w:szCs w:val="24"/>
        </w:rPr>
        <w:t>Aulaweb</w:t>
      </w:r>
      <w:proofErr w:type="spellEnd"/>
      <w:r w:rsidR="001B7C82" w:rsidRPr="001B7C82">
        <w:rPr>
          <w:rFonts w:ascii="Times New Roman" w:hAnsi="Times New Roman"/>
          <w:szCs w:val="24"/>
        </w:rPr>
        <w:t xml:space="preserve"> del Corso</w:t>
      </w:r>
      <w:r w:rsidR="001B7C82">
        <w:rPr>
          <w:rFonts w:ascii="Times New Roman" w:hAnsi="Times New Roman"/>
          <w:szCs w:val="24"/>
        </w:rPr>
        <w:t xml:space="preserve"> </w:t>
      </w:r>
      <w:hyperlink r:id="rId6" w:tgtFrame="Ne7So0zrsPCaE8qpNs4XQoK" w:history="1">
        <w:r w:rsidR="001B7C82" w:rsidRPr="001B7C82">
          <w:rPr>
            <w:rStyle w:val="Collegamentoipertestuale"/>
            <w:sz w:val="27"/>
            <w:szCs w:val="27"/>
          </w:rPr>
          <w:t>https://dispi.unige.it/node/2107</w:t>
        </w:r>
      </w:hyperlink>
      <w:r w:rsidRPr="001B7C82">
        <w:t xml:space="preserve">, </w:t>
      </w:r>
      <w:r w:rsidRPr="001B7C82">
        <w:rPr>
          <w:rFonts w:ascii="Times New Roman" w:hAnsi="Times New Roman"/>
          <w:szCs w:val="24"/>
        </w:rPr>
        <w:t>do</w:t>
      </w:r>
      <w:r w:rsidR="001B7C82" w:rsidRPr="001B7C82">
        <w:rPr>
          <w:rFonts w:ascii="Times New Roman" w:hAnsi="Times New Roman"/>
          <w:szCs w:val="24"/>
        </w:rPr>
        <w:t>ve saranno inserite tutte le</w:t>
      </w:r>
      <w:r w:rsidRPr="001B7C82">
        <w:rPr>
          <w:rFonts w:ascii="Times New Roman" w:hAnsi="Times New Roman"/>
          <w:szCs w:val="24"/>
        </w:rPr>
        <w:t xml:space="preserve"> informazioni e il materiale del Corso.</w:t>
      </w:r>
    </w:p>
    <w:p w:rsidR="009E686D" w:rsidRDefault="009E686D">
      <w:pPr>
        <w:rPr>
          <w:noProof/>
          <w:lang w:eastAsia="it-IT"/>
        </w:rPr>
      </w:pPr>
    </w:p>
    <w:p w:rsidR="006216E7" w:rsidRDefault="006216E7">
      <w:pPr>
        <w:rPr>
          <w:noProof/>
          <w:lang w:eastAsia="it-IT"/>
        </w:rPr>
      </w:pPr>
    </w:p>
    <w:p w:rsidR="006216E7" w:rsidRDefault="006216E7">
      <w:pPr>
        <w:rPr>
          <w:noProof/>
          <w:lang w:eastAsia="it-IT"/>
        </w:rPr>
      </w:pPr>
    </w:p>
    <w:p w:rsidR="00A511BC" w:rsidRDefault="00E16BE0" w:rsidP="00E16B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Programma</w:t>
      </w:r>
      <w:r w:rsidR="00740EFE">
        <w:rPr>
          <w:b/>
          <w:bCs/>
          <w:sz w:val="26"/>
          <w:szCs w:val="26"/>
        </w:rPr>
        <w:t xml:space="preserve"> provvisorio</w:t>
      </w:r>
    </w:p>
    <w:p w:rsidR="000C2552" w:rsidRPr="00092A13" w:rsidRDefault="000C2552" w:rsidP="006017D4">
      <w:pPr>
        <w:rPr>
          <w:b/>
          <w:bCs/>
          <w:sz w:val="26"/>
          <w:szCs w:val="26"/>
        </w:rPr>
      </w:pPr>
    </w:p>
    <w:p w:rsidR="000C2552" w:rsidRPr="001A3BBA" w:rsidRDefault="00014EEA" w:rsidP="000C2552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G</w:t>
      </w:r>
      <w:r w:rsidR="000C2552" w:rsidRPr="00092A13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li incontri s</w:t>
      </w:r>
      <w:r w:rsidR="003531B3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i terranno </w:t>
      </w:r>
      <w:r w:rsidR="00355B81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on </w:t>
      </w:r>
      <w:proofErr w:type="spellStart"/>
      <w:r w:rsidR="00355B81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line</w:t>
      </w:r>
      <w:proofErr w:type="spellEnd"/>
      <w:r w:rsidR="00355B81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, sulla piattaforma</w:t>
      </w:r>
      <w: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proofErr w:type="spellStart"/>
      <w: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Teams</w:t>
      </w:r>
      <w:proofErr w:type="spellEnd"/>
      <w:r w:rsidR="00B11460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, co</w:t>
      </w:r>
      <w:r w:rsidR="00B11460" w:rsidRPr="00FF2C8B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dic</w:t>
      </w:r>
      <w:r w:rsidR="00B11460"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e </w:t>
      </w:r>
      <w:r w:rsidR="001A3BBA" w:rsidRPr="001A3BBA">
        <w:rPr>
          <w:rStyle w:val="Enfasigrassetto"/>
          <w:rFonts w:ascii="Times New Roman" w:eastAsia="Times New Roman" w:hAnsi="Times New Roman" w:cs="Times New Roman"/>
          <w:bCs w:val="0"/>
          <w:color w:val="FF0000"/>
          <w:sz w:val="24"/>
          <w:szCs w:val="24"/>
          <w:lang w:eastAsia="it-IT"/>
        </w:rPr>
        <w:t>g8ncble</w:t>
      </w:r>
    </w:p>
    <w:p w:rsidR="00471B26" w:rsidRPr="001A3BBA" w:rsidRDefault="00471B26">
      <w:pPr>
        <w:rPr>
          <w:b/>
          <w:noProof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544"/>
        <w:gridCol w:w="2835"/>
        <w:gridCol w:w="2015"/>
      </w:tblGrid>
      <w:tr w:rsidR="00471B26" w:rsidTr="00611202">
        <w:tc>
          <w:tcPr>
            <w:tcW w:w="1384" w:type="dxa"/>
          </w:tcPr>
          <w:p w:rsidR="00471B26" w:rsidRDefault="00471B26" w:rsidP="00A511BC">
            <w:pPr>
              <w:jc w:val="center"/>
            </w:pPr>
            <w:r>
              <w:t>20</w:t>
            </w:r>
            <w:r w:rsidR="0053013F">
              <w:t>2</w:t>
            </w:r>
            <w:r w:rsidR="00BD16CC">
              <w:t>3</w:t>
            </w:r>
          </w:p>
        </w:tc>
        <w:tc>
          <w:tcPr>
            <w:tcW w:w="3544" w:type="dxa"/>
          </w:tcPr>
          <w:p w:rsidR="00471B26" w:rsidRDefault="00E67BC1" w:rsidP="00A511BC">
            <w:pPr>
              <w:jc w:val="center"/>
            </w:pPr>
            <w:r>
              <w:t>Titolo dell’incontro</w:t>
            </w:r>
          </w:p>
        </w:tc>
        <w:tc>
          <w:tcPr>
            <w:tcW w:w="2835" w:type="dxa"/>
          </w:tcPr>
          <w:p w:rsidR="00471B26" w:rsidRDefault="00E67BC1" w:rsidP="00A511BC">
            <w:pPr>
              <w:jc w:val="center"/>
            </w:pPr>
            <w:r>
              <w:t>Partecipano</w:t>
            </w:r>
          </w:p>
        </w:tc>
        <w:tc>
          <w:tcPr>
            <w:tcW w:w="2015" w:type="dxa"/>
          </w:tcPr>
          <w:p w:rsidR="00471B26" w:rsidRDefault="00AD4D18" w:rsidP="00AD4D18">
            <w:pPr>
              <w:jc w:val="center"/>
            </w:pPr>
            <w:r>
              <w:t>Aula</w:t>
            </w:r>
          </w:p>
        </w:tc>
      </w:tr>
      <w:tr w:rsidR="00471B26" w:rsidTr="00611202">
        <w:tc>
          <w:tcPr>
            <w:tcW w:w="1384" w:type="dxa"/>
          </w:tcPr>
          <w:p w:rsidR="002E3F8A" w:rsidRDefault="002E3F8A" w:rsidP="006D67AC">
            <w:pPr>
              <w:jc w:val="center"/>
            </w:pPr>
          </w:p>
        </w:tc>
        <w:tc>
          <w:tcPr>
            <w:tcW w:w="3544" w:type="dxa"/>
          </w:tcPr>
          <w:p w:rsidR="00471B26" w:rsidRPr="00AC50E5" w:rsidRDefault="00471B26" w:rsidP="00510A8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014EEA" w:rsidRDefault="00014EEA" w:rsidP="000C14CC">
            <w:pPr>
              <w:jc w:val="center"/>
            </w:pPr>
          </w:p>
        </w:tc>
        <w:tc>
          <w:tcPr>
            <w:tcW w:w="2015" w:type="dxa"/>
          </w:tcPr>
          <w:p w:rsidR="00471B26" w:rsidRDefault="00471B26" w:rsidP="006D67AC">
            <w:pPr>
              <w:jc w:val="center"/>
            </w:pPr>
          </w:p>
        </w:tc>
      </w:tr>
      <w:tr w:rsidR="000C14CC" w:rsidTr="00611202">
        <w:tc>
          <w:tcPr>
            <w:tcW w:w="1384" w:type="dxa"/>
          </w:tcPr>
          <w:p w:rsidR="000C14CC" w:rsidRDefault="00F52B0F" w:rsidP="006D67AC">
            <w:pPr>
              <w:jc w:val="center"/>
            </w:pPr>
            <w:r>
              <w:t>3</w:t>
            </w:r>
            <w:r w:rsidR="00DF5487">
              <w:t xml:space="preserve"> marzo</w:t>
            </w:r>
          </w:p>
          <w:p w:rsidR="000C14CC" w:rsidRDefault="00BD16CC" w:rsidP="006D67AC">
            <w:pPr>
              <w:jc w:val="center"/>
            </w:pPr>
            <w:r>
              <w:t>h. 16</w:t>
            </w:r>
            <w:r w:rsidR="000C14CC">
              <w:t>-1</w:t>
            </w:r>
            <w:r w:rsidR="009C430C">
              <w:t>9</w:t>
            </w:r>
          </w:p>
        </w:tc>
        <w:tc>
          <w:tcPr>
            <w:tcW w:w="3544" w:type="dxa"/>
          </w:tcPr>
          <w:p w:rsidR="00F52B0F" w:rsidRDefault="00F52B0F" w:rsidP="00F52B0F">
            <w:pPr>
              <w:jc w:val="center"/>
            </w:pPr>
            <w:r>
              <w:t>Un’Europa a due velocità?</w:t>
            </w:r>
          </w:p>
          <w:p w:rsidR="00E67BC1" w:rsidRDefault="00E67BC1" w:rsidP="00F52B0F">
            <w:pPr>
              <w:jc w:val="center"/>
            </w:pPr>
            <w:r>
              <w:t>La nascita delle Comunità europee e l’Europa a Sei</w:t>
            </w:r>
            <w:r w:rsidR="00F52B0F">
              <w:t xml:space="preserve"> </w:t>
            </w:r>
          </w:p>
        </w:tc>
        <w:tc>
          <w:tcPr>
            <w:tcW w:w="2835" w:type="dxa"/>
          </w:tcPr>
          <w:p w:rsidR="00AD4D18" w:rsidRDefault="00AD4D18" w:rsidP="00740EFE">
            <w:pPr>
              <w:jc w:val="center"/>
            </w:pPr>
            <w:r>
              <w:t xml:space="preserve">Daniela Preda </w:t>
            </w:r>
          </w:p>
          <w:p w:rsidR="00AD4D18" w:rsidRPr="00AD4D18" w:rsidRDefault="00AD4D18" w:rsidP="00AD4D18">
            <w:pPr>
              <w:jc w:val="center"/>
              <w:rPr>
                <w:i/>
              </w:rPr>
            </w:pPr>
            <w:r w:rsidRPr="00AD4D18">
              <w:rPr>
                <w:i/>
              </w:rPr>
              <w:t>Università di Genova</w:t>
            </w:r>
          </w:p>
          <w:p w:rsidR="00DF5487" w:rsidRDefault="00F52B0F" w:rsidP="00740EFE">
            <w:pPr>
              <w:jc w:val="center"/>
            </w:pPr>
            <w:r>
              <w:t xml:space="preserve">Daniele </w:t>
            </w:r>
            <w:proofErr w:type="spellStart"/>
            <w:r>
              <w:t>Pasquinucci</w:t>
            </w:r>
            <w:proofErr w:type="spellEnd"/>
            <w:r>
              <w:t xml:space="preserve">, </w:t>
            </w:r>
            <w:r w:rsidRPr="00AD4D18">
              <w:rPr>
                <w:i/>
              </w:rPr>
              <w:t>Università di Siena</w:t>
            </w:r>
          </w:p>
          <w:p w:rsidR="00F52B0F" w:rsidRDefault="00F52B0F" w:rsidP="00F24BC2">
            <w:pPr>
              <w:jc w:val="center"/>
            </w:pPr>
            <w:r>
              <w:t>G</w:t>
            </w:r>
            <w:r w:rsidR="00F24BC2">
              <w:t>uido Levi</w:t>
            </w:r>
          </w:p>
          <w:p w:rsidR="00F24BC2" w:rsidRPr="00F24BC2" w:rsidRDefault="00F24BC2" w:rsidP="00F24BC2">
            <w:pPr>
              <w:jc w:val="center"/>
              <w:rPr>
                <w:i/>
              </w:rPr>
            </w:pPr>
            <w:r w:rsidRPr="00F24BC2">
              <w:rPr>
                <w:i/>
              </w:rPr>
              <w:t>Università di Genova</w:t>
            </w:r>
          </w:p>
        </w:tc>
        <w:tc>
          <w:tcPr>
            <w:tcW w:w="2015" w:type="dxa"/>
          </w:tcPr>
          <w:p w:rsidR="000C14CC" w:rsidRDefault="00611202" w:rsidP="00611202">
            <w:pPr>
              <w:jc w:val="center"/>
            </w:pPr>
            <w:r>
              <w:t xml:space="preserve">Aula 16 </w:t>
            </w:r>
          </w:p>
          <w:p w:rsidR="00611202" w:rsidRDefault="00611202" w:rsidP="00611202">
            <w:pPr>
              <w:jc w:val="center"/>
            </w:pPr>
            <w:r>
              <w:t>Albergo dei Poveri, 2° piano</w:t>
            </w:r>
          </w:p>
        </w:tc>
      </w:tr>
      <w:tr w:rsidR="00471B26" w:rsidTr="00611202">
        <w:tc>
          <w:tcPr>
            <w:tcW w:w="1384" w:type="dxa"/>
          </w:tcPr>
          <w:p w:rsidR="00471B26" w:rsidRDefault="00BD16CC" w:rsidP="006D67AC">
            <w:pPr>
              <w:jc w:val="center"/>
            </w:pPr>
            <w:r>
              <w:t>8</w:t>
            </w:r>
            <w:r w:rsidR="00DF5487">
              <w:t xml:space="preserve"> marz</w:t>
            </w:r>
            <w:r w:rsidR="00A511BC">
              <w:t>o</w:t>
            </w:r>
          </w:p>
          <w:p w:rsidR="00510A8D" w:rsidRDefault="009C430C" w:rsidP="006D67AC">
            <w:pPr>
              <w:jc w:val="center"/>
            </w:pPr>
            <w:r>
              <w:t xml:space="preserve">h. </w:t>
            </w:r>
            <w:r w:rsidR="00BD16CC">
              <w:t>16</w:t>
            </w:r>
            <w:r w:rsidR="00510A8D">
              <w:t>-1</w:t>
            </w:r>
            <w:r>
              <w:t>9</w:t>
            </w:r>
          </w:p>
        </w:tc>
        <w:tc>
          <w:tcPr>
            <w:tcW w:w="3544" w:type="dxa"/>
          </w:tcPr>
          <w:p w:rsidR="006C590C" w:rsidRDefault="00C8142F" w:rsidP="00AC50E5">
            <w:pPr>
              <w:jc w:val="center"/>
              <w:rPr>
                <w:rFonts w:eastAsia="Arial Unicode MS"/>
              </w:rPr>
            </w:pPr>
            <w:r w:rsidRPr="00C8142F">
              <w:rPr>
                <w:rFonts w:eastAsia="Arial Unicode MS"/>
              </w:rPr>
              <w:t xml:space="preserve">Dall’adesione alla </w:t>
            </w:r>
            <w:proofErr w:type="spellStart"/>
            <w:r w:rsidRPr="00C8142F">
              <w:rPr>
                <w:rFonts w:eastAsia="Arial Unicode MS"/>
              </w:rPr>
              <w:t>Brexit</w:t>
            </w:r>
            <w:proofErr w:type="spellEnd"/>
            <w:r w:rsidRPr="00C8142F">
              <w:rPr>
                <w:rFonts w:eastAsia="Arial Unicode MS"/>
              </w:rPr>
              <w:t xml:space="preserve">: </w:t>
            </w:r>
          </w:p>
          <w:p w:rsidR="00471B26" w:rsidRPr="00C8142F" w:rsidRDefault="00C8142F" w:rsidP="00AC50E5">
            <w:pPr>
              <w:jc w:val="center"/>
              <w:rPr>
                <w:rFonts w:eastAsia="Arial Unicode MS"/>
              </w:rPr>
            </w:pPr>
            <w:r w:rsidRPr="00C8142F">
              <w:rPr>
                <w:rFonts w:eastAsia="Arial Unicode MS"/>
              </w:rPr>
              <w:t>la Gran Bretagna e l’Unione Europea</w:t>
            </w:r>
          </w:p>
        </w:tc>
        <w:tc>
          <w:tcPr>
            <w:tcW w:w="2835" w:type="dxa"/>
          </w:tcPr>
          <w:p w:rsidR="00AD4D18" w:rsidRDefault="00AD4D18" w:rsidP="00AD4D18">
            <w:pPr>
              <w:jc w:val="center"/>
            </w:pPr>
            <w:r>
              <w:t>Maria Eleonora Guasconi</w:t>
            </w:r>
          </w:p>
          <w:p w:rsidR="00AD4D18" w:rsidRPr="00AD4D18" w:rsidRDefault="00AD4D18" w:rsidP="00AD4D18">
            <w:pPr>
              <w:jc w:val="center"/>
              <w:rPr>
                <w:i/>
              </w:rPr>
            </w:pPr>
            <w:r w:rsidRPr="00AD4D18">
              <w:rPr>
                <w:i/>
              </w:rPr>
              <w:t xml:space="preserve">Università di Genova </w:t>
            </w:r>
          </w:p>
          <w:p w:rsidR="00C8142F" w:rsidRPr="00A63299" w:rsidRDefault="00C8142F" w:rsidP="003A2B8B">
            <w:pPr>
              <w:jc w:val="center"/>
            </w:pPr>
            <w:r>
              <w:t xml:space="preserve">Lucio </w:t>
            </w:r>
            <w:proofErr w:type="spellStart"/>
            <w:r>
              <w:t>Valent</w:t>
            </w:r>
            <w:proofErr w:type="spellEnd"/>
          </w:p>
        </w:tc>
        <w:tc>
          <w:tcPr>
            <w:tcW w:w="2015" w:type="dxa"/>
          </w:tcPr>
          <w:p w:rsidR="00AD4D18" w:rsidRDefault="00AD4D18" w:rsidP="00AD4D18">
            <w:pPr>
              <w:jc w:val="center"/>
            </w:pPr>
            <w:r>
              <w:t>Aula Mazzini</w:t>
            </w:r>
          </w:p>
          <w:p w:rsidR="00AD4D18" w:rsidRDefault="00AD4D18" w:rsidP="00AD4D18">
            <w:pPr>
              <w:jc w:val="center"/>
            </w:pPr>
            <w:r>
              <w:t>Via Balbi 5 – terzo piano</w:t>
            </w:r>
            <w:r w:rsidR="00147B62">
              <w:t xml:space="preserve"> </w:t>
            </w:r>
          </w:p>
          <w:p w:rsidR="00471B26" w:rsidRDefault="00471B26" w:rsidP="00BD16CC">
            <w:pPr>
              <w:jc w:val="center"/>
            </w:pPr>
          </w:p>
        </w:tc>
      </w:tr>
      <w:tr w:rsidR="00471B26" w:rsidTr="00611202">
        <w:tc>
          <w:tcPr>
            <w:tcW w:w="1384" w:type="dxa"/>
          </w:tcPr>
          <w:p w:rsidR="002E3F8A" w:rsidRDefault="006C590C" w:rsidP="000C14CC">
            <w:pPr>
              <w:jc w:val="center"/>
            </w:pPr>
            <w:r>
              <w:t>15</w:t>
            </w:r>
            <w:r w:rsidR="00DF5487">
              <w:t xml:space="preserve"> marzo</w:t>
            </w:r>
          </w:p>
          <w:p w:rsidR="009C430C" w:rsidRDefault="009C430C" w:rsidP="000C14CC">
            <w:pPr>
              <w:jc w:val="center"/>
            </w:pPr>
            <w:r>
              <w:t>h. 17-19</w:t>
            </w:r>
          </w:p>
        </w:tc>
        <w:tc>
          <w:tcPr>
            <w:tcW w:w="3544" w:type="dxa"/>
          </w:tcPr>
          <w:p w:rsidR="00471B26" w:rsidRDefault="00A4541F" w:rsidP="00046879">
            <w:pPr>
              <w:jc w:val="center"/>
            </w:pPr>
            <w:r>
              <w:t>L’Europa mediterranea</w:t>
            </w:r>
          </w:p>
        </w:tc>
        <w:tc>
          <w:tcPr>
            <w:tcW w:w="2835" w:type="dxa"/>
          </w:tcPr>
          <w:p w:rsidR="00DF5487" w:rsidRDefault="00BD16CC" w:rsidP="00DF5487">
            <w:pPr>
              <w:jc w:val="center"/>
            </w:pPr>
            <w:r>
              <w:t>Guido Levi</w:t>
            </w:r>
          </w:p>
          <w:p w:rsidR="00BD16CC" w:rsidRPr="0058062E" w:rsidRDefault="00BD16CC" w:rsidP="00DF5487">
            <w:pPr>
              <w:jc w:val="center"/>
              <w:rPr>
                <w:i/>
              </w:rPr>
            </w:pPr>
            <w:r w:rsidRPr="0058062E">
              <w:rPr>
                <w:i/>
              </w:rPr>
              <w:t>Università di Genova</w:t>
            </w:r>
          </w:p>
          <w:p w:rsidR="00AD4D18" w:rsidRDefault="00AC0CAA" w:rsidP="00AC0CAA">
            <w:pPr>
              <w:jc w:val="center"/>
            </w:pPr>
            <w:r>
              <w:t>Daniela Preda</w:t>
            </w:r>
          </w:p>
        </w:tc>
        <w:tc>
          <w:tcPr>
            <w:tcW w:w="2015" w:type="dxa"/>
          </w:tcPr>
          <w:p w:rsidR="00611202" w:rsidRDefault="00611202" w:rsidP="00BA656D">
            <w:pPr>
              <w:jc w:val="center"/>
            </w:pPr>
            <w:r>
              <w:t>Aula 16</w:t>
            </w:r>
          </w:p>
          <w:p w:rsidR="00471B26" w:rsidRDefault="00611202" w:rsidP="00BA656D">
            <w:pPr>
              <w:jc w:val="center"/>
            </w:pPr>
            <w:r>
              <w:t>Albergo dei Poveri, 2° piano</w:t>
            </w:r>
          </w:p>
        </w:tc>
      </w:tr>
      <w:tr w:rsidR="00A63299" w:rsidTr="00611202">
        <w:tc>
          <w:tcPr>
            <w:tcW w:w="1384" w:type="dxa"/>
          </w:tcPr>
          <w:p w:rsidR="00A63299" w:rsidRDefault="006C590C" w:rsidP="00B96FBE">
            <w:pPr>
              <w:jc w:val="center"/>
            </w:pPr>
            <w:r>
              <w:t>17</w:t>
            </w:r>
            <w:r w:rsidR="00A63299">
              <w:t xml:space="preserve"> marzo</w:t>
            </w:r>
          </w:p>
          <w:p w:rsidR="00A63299" w:rsidRDefault="00BD16CC" w:rsidP="00B96FBE">
            <w:pPr>
              <w:jc w:val="center"/>
            </w:pPr>
            <w:r>
              <w:t>h. 16</w:t>
            </w:r>
            <w:r w:rsidR="00A63299">
              <w:t>-19</w:t>
            </w:r>
          </w:p>
        </w:tc>
        <w:tc>
          <w:tcPr>
            <w:tcW w:w="3544" w:type="dxa"/>
          </w:tcPr>
          <w:p w:rsidR="00A63299" w:rsidRDefault="00C8142F" w:rsidP="00C8142F">
            <w:pPr>
              <w:jc w:val="center"/>
            </w:pPr>
            <w:r>
              <w:t>L’Europa raddoppia.</w:t>
            </w:r>
          </w:p>
          <w:p w:rsidR="00C8142F" w:rsidRDefault="00C8142F" w:rsidP="00C8142F">
            <w:pPr>
              <w:jc w:val="center"/>
            </w:pPr>
            <w:r>
              <w:t>L’allargamento ai Paesi dell’Europa centro-orientale</w:t>
            </w:r>
          </w:p>
        </w:tc>
        <w:tc>
          <w:tcPr>
            <w:tcW w:w="2835" w:type="dxa"/>
          </w:tcPr>
          <w:p w:rsidR="00A63299" w:rsidRDefault="00BD16CC" w:rsidP="00B96FBE">
            <w:pPr>
              <w:jc w:val="center"/>
            </w:pPr>
            <w:r>
              <w:t>Lara Piccardo</w:t>
            </w:r>
          </w:p>
          <w:p w:rsidR="00AD4D18" w:rsidRPr="0058062E" w:rsidRDefault="00BD16CC" w:rsidP="00BD16CC">
            <w:pPr>
              <w:jc w:val="center"/>
              <w:rPr>
                <w:i/>
              </w:rPr>
            </w:pPr>
            <w:r w:rsidRPr="0058062E">
              <w:rPr>
                <w:i/>
              </w:rPr>
              <w:t>Università di Genova</w:t>
            </w:r>
            <w:r w:rsidR="00AD4D18" w:rsidRPr="0058062E">
              <w:rPr>
                <w:i/>
              </w:rPr>
              <w:t xml:space="preserve"> </w:t>
            </w:r>
          </w:p>
          <w:p w:rsidR="00A94E06" w:rsidRDefault="00A94E06" w:rsidP="00A94E06">
            <w:pPr>
              <w:jc w:val="center"/>
            </w:pPr>
            <w:r>
              <w:t xml:space="preserve">Stefano </w:t>
            </w:r>
            <w:proofErr w:type="spellStart"/>
            <w:r>
              <w:t>Quirico</w:t>
            </w:r>
            <w:proofErr w:type="spellEnd"/>
          </w:p>
          <w:p w:rsidR="00A94E06" w:rsidRPr="00A94E06" w:rsidRDefault="00A94E06" w:rsidP="00A94E06">
            <w:pPr>
              <w:jc w:val="center"/>
              <w:rPr>
                <w:i/>
              </w:rPr>
            </w:pPr>
            <w:r w:rsidRPr="00A94E06">
              <w:rPr>
                <w:i/>
              </w:rPr>
              <w:t>Università del Piemonte Orientale</w:t>
            </w:r>
          </w:p>
          <w:p w:rsidR="00A63299" w:rsidRPr="00AC0CAA" w:rsidRDefault="00AD4D18" w:rsidP="00A94E06">
            <w:pPr>
              <w:jc w:val="center"/>
            </w:pPr>
            <w:r w:rsidRPr="00AC0CAA">
              <w:t>Daniela Preda</w:t>
            </w:r>
          </w:p>
          <w:p w:rsidR="001044A2" w:rsidRPr="001044A2" w:rsidRDefault="001044A2" w:rsidP="001044A2">
            <w:pPr>
              <w:jc w:val="center"/>
              <w:rPr>
                <w:i/>
              </w:rPr>
            </w:pPr>
            <w:r w:rsidRPr="0058062E">
              <w:rPr>
                <w:i/>
              </w:rPr>
              <w:t xml:space="preserve">Università di Genova </w:t>
            </w:r>
          </w:p>
        </w:tc>
        <w:tc>
          <w:tcPr>
            <w:tcW w:w="2015" w:type="dxa"/>
          </w:tcPr>
          <w:p w:rsidR="00A63299" w:rsidRDefault="00611202" w:rsidP="00B96FBE">
            <w:pPr>
              <w:jc w:val="center"/>
            </w:pPr>
            <w:r>
              <w:t xml:space="preserve">Aula 16 </w:t>
            </w:r>
          </w:p>
          <w:p w:rsidR="00611202" w:rsidRDefault="00611202" w:rsidP="00B96FBE">
            <w:pPr>
              <w:jc w:val="center"/>
            </w:pPr>
            <w:r>
              <w:t>Albergo dei Poveri, 2° piano</w:t>
            </w:r>
          </w:p>
        </w:tc>
      </w:tr>
      <w:tr w:rsidR="00A63299" w:rsidTr="00611202">
        <w:tc>
          <w:tcPr>
            <w:tcW w:w="1384" w:type="dxa"/>
          </w:tcPr>
          <w:p w:rsidR="00A63299" w:rsidRDefault="00AD4D18" w:rsidP="000C14CC">
            <w:pPr>
              <w:jc w:val="center"/>
            </w:pPr>
            <w:r>
              <w:t>22</w:t>
            </w:r>
            <w:r w:rsidR="00A63299">
              <w:t xml:space="preserve"> marzo</w:t>
            </w:r>
          </w:p>
          <w:p w:rsidR="00A63299" w:rsidRDefault="00BD16CC" w:rsidP="000C14CC">
            <w:pPr>
              <w:jc w:val="center"/>
            </w:pPr>
            <w:r>
              <w:t>h. 16</w:t>
            </w:r>
            <w:r w:rsidR="00A63299">
              <w:t>-19</w:t>
            </w:r>
          </w:p>
        </w:tc>
        <w:tc>
          <w:tcPr>
            <w:tcW w:w="3544" w:type="dxa"/>
          </w:tcPr>
          <w:p w:rsidR="00A63299" w:rsidRDefault="00C8142F" w:rsidP="003B7EFD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Le prospettive di allargamento</w:t>
            </w:r>
            <w:r w:rsidR="00E15F32">
              <w:rPr>
                <w:rFonts w:eastAsia="Arial Unicode MS"/>
              </w:rPr>
              <w:t xml:space="preserve"> e la politica di vicinato</w:t>
            </w:r>
          </w:p>
        </w:tc>
        <w:tc>
          <w:tcPr>
            <w:tcW w:w="2835" w:type="dxa"/>
          </w:tcPr>
          <w:p w:rsidR="00AD4D18" w:rsidRDefault="00AD4D18" w:rsidP="00AD4D18">
            <w:pPr>
              <w:jc w:val="center"/>
            </w:pPr>
            <w:r>
              <w:t>Lara Piccardo</w:t>
            </w:r>
          </w:p>
          <w:p w:rsidR="00A63299" w:rsidRDefault="00AD4D18" w:rsidP="00AD4D18">
            <w:pPr>
              <w:jc w:val="center"/>
              <w:rPr>
                <w:i/>
              </w:rPr>
            </w:pPr>
            <w:r w:rsidRPr="0058062E">
              <w:rPr>
                <w:i/>
              </w:rPr>
              <w:t>Università di Genova</w:t>
            </w:r>
          </w:p>
          <w:p w:rsidR="0030576B" w:rsidRPr="0030576B" w:rsidRDefault="0030576B" w:rsidP="00AD4D18">
            <w:pPr>
              <w:jc w:val="center"/>
            </w:pPr>
          </w:p>
        </w:tc>
        <w:tc>
          <w:tcPr>
            <w:tcW w:w="2015" w:type="dxa"/>
          </w:tcPr>
          <w:p w:rsidR="00A63299" w:rsidRDefault="00611202" w:rsidP="00E67BC1">
            <w:pPr>
              <w:jc w:val="center"/>
            </w:pPr>
            <w:r>
              <w:t xml:space="preserve">Aula 16 </w:t>
            </w:r>
          </w:p>
          <w:p w:rsidR="00611202" w:rsidRDefault="00611202" w:rsidP="00E67BC1">
            <w:pPr>
              <w:jc w:val="center"/>
            </w:pPr>
            <w:r>
              <w:t>Albergo dei Poveri, 2° piano</w:t>
            </w:r>
          </w:p>
        </w:tc>
      </w:tr>
      <w:tr w:rsidR="00A63299" w:rsidRPr="00CE7F2D" w:rsidTr="00611202">
        <w:tc>
          <w:tcPr>
            <w:tcW w:w="1384" w:type="dxa"/>
          </w:tcPr>
          <w:p w:rsidR="00A63299" w:rsidRPr="00CE7F2D" w:rsidRDefault="00BD16CC" w:rsidP="00CE7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8819ED">
              <w:rPr>
                <w:lang w:val="en-US"/>
              </w:rPr>
              <w:t xml:space="preserve"> </w:t>
            </w:r>
            <w:proofErr w:type="spellStart"/>
            <w:r w:rsidR="008819ED">
              <w:rPr>
                <w:lang w:val="en-US"/>
              </w:rPr>
              <w:t>mar</w:t>
            </w:r>
            <w:r w:rsidR="00A63299">
              <w:rPr>
                <w:lang w:val="en-US"/>
              </w:rPr>
              <w:t>zo</w:t>
            </w:r>
            <w:proofErr w:type="spellEnd"/>
          </w:p>
          <w:p w:rsidR="00A63299" w:rsidRPr="00CE7F2D" w:rsidRDefault="00A63299" w:rsidP="006D67AC">
            <w:pPr>
              <w:jc w:val="center"/>
              <w:rPr>
                <w:lang w:val="en-US"/>
              </w:rPr>
            </w:pPr>
            <w:r w:rsidRPr="00CE7F2D">
              <w:rPr>
                <w:lang w:val="en-US"/>
              </w:rPr>
              <w:t xml:space="preserve">h. </w:t>
            </w:r>
            <w:r>
              <w:rPr>
                <w:lang w:val="en-US"/>
              </w:rPr>
              <w:t>17-18</w:t>
            </w:r>
          </w:p>
        </w:tc>
        <w:tc>
          <w:tcPr>
            <w:tcW w:w="3544" w:type="dxa"/>
          </w:tcPr>
          <w:p w:rsidR="00A63299" w:rsidRPr="00CE7F2D" w:rsidRDefault="00A63299" w:rsidP="006D67AC">
            <w:pPr>
              <w:jc w:val="center"/>
              <w:rPr>
                <w:lang w:val="en-US"/>
              </w:rPr>
            </w:pPr>
            <w:r w:rsidRPr="00CE7F2D">
              <w:rPr>
                <w:lang w:val="en-US"/>
              </w:rPr>
              <w:t>Test finale</w:t>
            </w:r>
          </w:p>
        </w:tc>
        <w:tc>
          <w:tcPr>
            <w:tcW w:w="2835" w:type="dxa"/>
          </w:tcPr>
          <w:p w:rsidR="00A63299" w:rsidRPr="00CE7F2D" w:rsidRDefault="00A63299" w:rsidP="006D67AC">
            <w:pPr>
              <w:jc w:val="center"/>
              <w:rPr>
                <w:lang w:val="en-US"/>
              </w:rPr>
            </w:pPr>
          </w:p>
        </w:tc>
        <w:tc>
          <w:tcPr>
            <w:tcW w:w="2015" w:type="dxa"/>
          </w:tcPr>
          <w:p w:rsidR="00611202" w:rsidRDefault="00611202" w:rsidP="00611202">
            <w:pPr>
              <w:jc w:val="center"/>
            </w:pPr>
            <w:r>
              <w:t>Aula Mazzini</w:t>
            </w:r>
          </w:p>
          <w:p w:rsidR="00A63299" w:rsidRPr="00611202" w:rsidRDefault="00611202" w:rsidP="00611202">
            <w:pPr>
              <w:jc w:val="center"/>
            </w:pPr>
            <w:r>
              <w:t xml:space="preserve">Via Balbi 5 – terzo piano </w:t>
            </w:r>
          </w:p>
        </w:tc>
      </w:tr>
    </w:tbl>
    <w:p w:rsidR="00A55E79" w:rsidRPr="00611202" w:rsidRDefault="00A55E79" w:rsidP="00046879">
      <w:pPr>
        <w:rPr>
          <w:rFonts w:eastAsia="Times New Roman" w:cs="Arial"/>
          <w:i/>
        </w:rPr>
      </w:pPr>
    </w:p>
    <w:p w:rsidR="0037703F" w:rsidRDefault="0037703F" w:rsidP="0037703F">
      <w:pPr>
        <w:ind w:right="85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46C4" w:rsidRPr="0037703F" w:rsidRDefault="000246C4" w:rsidP="0037703F">
      <w:pPr>
        <w:rPr>
          <w:rFonts w:eastAsia="Times New Roman" w:cs="Arial"/>
          <w:i/>
        </w:rPr>
      </w:pPr>
    </w:p>
    <w:sectPr w:rsidR="000246C4" w:rsidRPr="0037703F" w:rsidSect="00BD1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71B26"/>
    <w:rsid w:val="00004A92"/>
    <w:rsid w:val="00014EEA"/>
    <w:rsid w:val="0002139F"/>
    <w:rsid w:val="000246C4"/>
    <w:rsid w:val="00025944"/>
    <w:rsid w:val="000465CE"/>
    <w:rsid w:val="00046879"/>
    <w:rsid w:val="00062EFC"/>
    <w:rsid w:val="00065756"/>
    <w:rsid w:val="00092A13"/>
    <w:rsid w:val="00092A56"/>
    <w:rsid w:val="000938E4"/>
    <w:rsid w:val="000C14CC"/>
    <w:rsid w:val="000C2552"/>
    <w:rsid w:val="000F73FD"/>
    <w:rsid w:val="001003F0"/>
    <w:rsid w:val="00101F4B"/>
    <w:rsid w:val="001044A2"/>
    <w:rsid w:val="00112AA8"/>
    <w:rsid w:val="00114805"/>
    <w:rsid w:val="00116E9D"/>
    <w:rsid w:val="00141667"/>
    <w:rsid w:val="00147B62"/>
    <w:rsid w:val="00150FE4"/>
    <w:rsid w:val="00173EB5"/>
    <w:rsid w:val="001861B6"/>
    <w:rsid w:val="00191490"/>
    <w:rsid w:val="001A1B7D"/>
    <w:rsid w:val="001A3BBA"/>
    <w:rsid w:val="001B7C82"/>
    <w:rsid w:val="001E31C0"/>
    <w:rsid w:val="00202386"/>
    <w:rsid w:val="002136AB"/>
    <w:rsid w:val="00222897"/>
    <w:rsid w:val="00227078"/>
    <w:rsid w:val="002368DD"/>
    <w:rsid w:val="0024030C"/>
    <w:rsid w:val="002435D5"/>
    <w:rsid w:val="00277F6D"/>
    <w:rsid w:val="00294DB0"/>
    <w:rsid w:val="002A4D14"/>
    <w:rsid w:val="002B63BE"/>
    <w:rsid w:val="002B79BF"/>
    <w:rsid w:val="002C289A"/>
    <w:rsid w:val="002D038D"/>
    <w:rsid w:val="002D5EFC"/>
    <w:rsid w:val="002E3F8A"/>
    <w:rsid w:val="002F4143"/>
    <w:rsid w:val="0030576B"/>
    <w:rsid w:val="00306EA5"/>
    <w:rsid w:val="003405B2"/>
    <w:rsid w:val="00342B73"/>
    <w:rsid w:val="003531B3"/>
    <w:rsid w:val="00355B81"/>
    <w:rsid w:val="00363BA1"/>
    <w:rsid w:val="0037703F"/>
    <w:rsid w:val="003A2B8B"/>
    <w:rsid w:val="003A75A1"/>
    <w:rsid w:val="003A7EA3"/>
    <w:rsid w:val="003B58E1"/>
    <w:rsid w:val="003B7EFD"/>
    <w:rsid w:val="003C1374"/>
    <w:rsid w:val="003F252D"/>
    <w:rsid w:val="003F6F47"/>
    <w:rsid w:val="004026AB"/>
    <w:rsid w:val="0041610C"/>
    <w:rsid w:val="0042467A"/>
    <w:rsid w:val="004372AB"/>
    <w:rsid w:val="00446624"/>
    <w:rsid w:val="00457F53"/>
    <w:rsid w:val="00471B26"/>
    <w:rsid w:val="004814AF"/>
    <w:rsid w:val="004A3F2B"/>
    <w:rsid w:val="004C7278"/>
    <w:rsid w:val="004E430E"/>
    <w:rsid w:val="004F0AD7"/>
    <w:rsid w:val="004F2462"/>
    <w:rsid w:val="004F54CE"/>
    <w:rsid w:val="00502C30"/>
    <w:rsid w:val="00510A8D"/>
    <w:rsid w:val="0053013F"/>
    <w:rsid w:val="00542467"/>
    <w:rsid w:val="005713A9"/>
    <w:rsid w:val="0058062E"/>
    <w:rsid w:val="0058113E"/>
    <w:rsid w:val="00581ED6"/>
    <w:rsid w:val="00593156"/>
    <w:rsid w:val="00596BAD"/>
    <w:rsid w:val="005A6154"/>
    <w:rsid w:val="005E6C19"/>
    <w:rsid w:val="006017D4"/>
    <w:rsid w:val="00611202"/>
    <w:rsid w:val="006120E1"/>
    <w:rsid w:val="006216E7"/>
    <w:rsid w:val="0062323D"/>
    <w:rsid w:val="00642277"/>
    <w:rsid w:val="00651492"/>
    <w:rsid w:val="0067439F"/>
    <w:rsid w:val="0067740A"/>
    <w:rsid w:val="0068687F"/>
    <w:rsid w:val="00694A66"/>
    <w:rsid w:val="006C590C"/>
    <w:rsid w:val="006D67AC"/>
    <w:rsid w:val="007017F0"/>
    <w:rsid w:val="0071424A"/>
    <w:rsid w:val="00717405"/>
    <w:rsid w:val="00723C2B"/>
    <w:rsid w:val="0073296C"/>
    <w:rsid w:val="00740EFE"/>
    <w:rsid w:val="007451F8"/>
    <w:rsid w:val="00752D2A"/>
    <w:rsid w:val="007720B1"/>
    <w:rsid w:val="00787784"/>
    <w:rsid w:val="0079053A"/>
    <w:rsid w:val="007951FF"/>
    <w:rsid w:val="007C699C"/>
    <w:rsid w:val="007D78C7"/>
    <w:rsid w:val="007F47E1"/>
    <w:rsid w:val="007F5F18"/>
    <w:rsid w:val="00873991"/>
    <w:rsid w:val="008819ED"/>
    <w:rsid w:val="008A15FD"/>
    <w:rsid w:val="008D26E3"/>
    <w:rsid w:val="008D4B2F"/>
    <w:rsid w:val="008E6327"/>
    <w:rsid w:val="0092712F"/>
    <w:rsid w:val="00930C80"/>
    <w:rsid w:val="00943CFD"/>
    <w:rsid w:val="00952749"/>
    <w:rsid w:val="009571FE"/>
    <w:rsid w:val="009710E8"/>
    <w:rsid w:val="009A472D"/>
    <w:rsid w:val="009C430C"/>
    <w:rsid w:val="009C4A29"/>
    <w:rsid w:val="009D3E0D"/>
    <w:rsid w:val="009E2B2D"/>
    <w:rsid w:val="009E686D"/>
    <w:rsid w:val="009E748C"/>
    <w:rsid w:val="00A05C9D"/>
    <w:rsid w:val="00A14E41"/>
    <w:rsid w:val="00A35704"/>
    <w:rsid w:val="00A423DD"/>
    <w:rsid w:val="00A4541F"/>
    <w:rsid w:val="00A50E9F"/>
    <w:rsid w:val="00A511BC"/>
    <w:rsid w:val="00A5361D"/>
    <w:rsid w:val="00A55E79"/>
    <w:rsid w:val="00A63299"/>
    <w:rsid w:val="00A928CC"/>
    <w:rsid w:val="00A94E06"/>
    <w:rsid w:val="00AA6E54"/>
    <w:rsid w:val="00AB0706"/>
    <w:rsid w:val="00AC0CAA"/>
    <w:rsid w:val="00AC50E5"/>
    <w:rsid w:val="00AD35B7"/>
    <w:rsid w:val="00AD4282"/>
    <w:rsid w:val="00AD43D2"/>
    <w:rsid w:val="00AD4D18"/>
    <w:rsid w:val="00AE48A0"/>
    <w:rsid w:val="00AE5739"/>
    <w:rsid w:val="00B04C04"/>
    <w:rsid w:val="00B0623B"/>
    <w:rsid w:val="00B06FA9"/>
    <w:rsid w:val="00B07911"/>
    <w:rsid w:val="00B11460"/>
    <w:rsid w:val="00B13EA3"/>
    <w:rsid w:val="00B31E92"/>
    <w:rsid w:val="00B32E44"/>
    <w:rsid w:val="00B650C6"/>
    <w:rsid w:val="00BA656D"/>
    <w:rsid w:val="00BA7BE2"/>
    <w:rsid w:val="00BB76A6"/>
    <w:rsid w:val="00BD16CC"/>
    <w:rsid w:val="00BD1B97"/>
    <w:rsid w:val="00BE55A7"/>
    <w:rsid w:val="00C0081B"/>
    <w:rsid w:val="00C8142F"/>
    <w:rsid w:val="00C97F92"/>
    <w:rsid w:val="00CA4B15"/>
    <w:rsid w:val="00CB237F"/>
    <w:rsid w:val="00CD3D22"/>
    <w:rsid w:val="00CE22FD"/>
    <w:rsid w:val="00CE7F2D"/>
    <w:rsid w:val="00CF2215"/>
    <w:rsid w:val="00D05DA5"/>
    <w:rsid w:val="00D31B54"/>
    <w:rsid w:val="00D34194"/>
    <w:rsid w:val="00DA37B7"/>
    <w:rsid w:val="00DC55E6"/>
    <w:rsid w:val="00DD0C59"/>
    <w:rsid w:val="00DD5075"/>
    <w:rsid w:val="00DE1CE9"/>
    <w:rsid w:val="00DF5487"/>
    <w:rsid w:val="00DF6E6D"/>
    <w:rsid w:val="00DF74F9"/>
    <w:rsid w:val="00E15F32"/>
    <w:rsid w:val="00E16BE0"/>
    <w:rsid w:val="00E2519A"/>
    <w:rsid w:val="00E336A6"/>
    <w:rsid w:val="00E46A52"/>
    <w:rsid w:val="00E67BC1"/>
    <w:rsid w:val="00E717EB"/>
    <w:rsid w:val="00E822A2"/>
    <w:rsid w:val="00E82E72"/>
    <w:rsid w:val="00EF047D"/>
    <w:rsid w:val="00EF256B"/>
    <w:rsid w:val="00F04B3D"/>
    <w:rsid w:val="00F064AD"/>
    <w:rsid w:val="00F15C40"/>
    <w:rsid w:val="00F24BC2"/>
    <w:rsid w:val="00F52B0F"/>
    <w:rsid w:val="00F66A83"/>
    <w:rsid w:val="00F81BEA"/>
    <w:rsid w:val="00F8213D"/>
    <w:rsid w:val="00F94FB0"/>
    <w:rsid w:val="00FA016A"/>
    <w:rsid w:val="00FA5BA6"/>
    <w:rsid w:val="00FB690F"/>
    <w:rsid w:val="00FD7380"/>
    <w:rsid w:val="00FE38AF"/>
    <w:rsid w:val="00FE59C5"/>
    <w:rsid w:val="00FF2C8B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B97"/>
  </w:style>
  <w:style w:type="paragraph" w:styleId="Titolo3">
    <w:name w:val="heading 3"/>
    <w:basedOn w:val="Normale"/>
    <w:next w:val="Normale"/>
    <w:link w:val="Titolo3Carattere"/>
    <w:unhideWhenUsed/>
    <w:qFormat/>
    <w:rsid w:val="0068687F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B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7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1B26"/>
    <w:rPr>
      <w:b/>
      <w:bCs/>
    </w:rPr>
  </w:style>
  <w:style w:type="character" w:styleId="Enfasicorsivo">
    <w:name w:val="Emphasis"/>
    <w:basedOn w:val="Carpredefinitoparagrafo"/>
    <w:uiPriority w:val="20"/>
    <w:qFormat/>
    <w:rsid w:val="00471B26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68687F"/>
    <w:rPr>
      <w:rFonts w:ascii="Garamond" w:eastAsia="Times New Roman" w:hAnsi="Garamond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68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1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pi.unige.it/node/2107" TargetMode="External"/><Relationship Id="rId5" Type="http://schemas.openxmlformats.org/officeDocument/2006/relationships/hyperlink" Target="https://servizionline.unige.it/studenti/formazionecittadinan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Le iscrizioni sono aperte dal 13 febbraio al 2 marzo 2023 su Aulaweb </vt:lpstr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2022-01-13T20:54:00Z</cp:lastPrinted>
  <dcterms:created xsi:type="dcterms:W3CDTF">2023-02-28T20:16:00Z</dcterms:created>
  <dcterms:modified xsi:type="dcterms:W3CDTF">2023-03-01T13:43:00Z</dcterms:modified>
</cp:coreProperties>
</file>